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</w:p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Краевой ди</w:t>
      </w:r>
      <w:r w:rsidR="002D3360">
        <w:rPr>
          <w:rFonts w:ascii="Times New Roman" w:eastAsia="Times New Roman" w:hAnsi="Times New Roman"/>
          <w:sz w:val="28"/>
          <w:szCs w:val="28"/>
          <w:lang w:eastAsia="ru-RU"/>
        </w:rPr>
        <w:t>агностической  работы по геометрии, проведенной 16.11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.18 года  для учащихся 8 класса МБОУ ООШ 15.</w:t>
      </w:r>
    </w:p>
    <w:p w:rsidR="008C55C1" w:rsidRDefault="008C55C1" w:rsidP="008C55C1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2D3360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Контрольную работу писали 25</w:t>
      </w:r>
      <w:r w:rsidR="008C55C1">
        <w:rPr>
          <w:rFonts w:ascii="Times New Roman" w:eastAsia="Times New Roman" w:hAnsi="Times New Roman"/>
          <w:sz w:val="28"/>
          <w:szCs w:val="28"/>
          <w:lang w:eastAsia="ru-RU"/>
        </w:rPr>
        <w:t>(из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31) ученика, что составляет  81</w:t>
      </w:r>
      <w:r w:rsidR="008C55C1">
        <w:rPr>
          <w:rFonts w:ascii="Times New Roman" w:eastAsia="Times New Roman" w:hAnsi="Times New Roman"/>
          <w:sz w:val="28"/>
          <w:szCs w:val="28"/>
          <w:lang w:eastAsia="ru-RU"/>
        </w:rPr>
        <w:t>% учащихся класса.  В таблице приведены итоги контрольной работы.</w:t>
      </w:r>
    </w:p>
    <w:tbl>
      <w:tblPr>
        <w:tblStyle w:val="1"/>
        <w:tblW w:w="0" w:type="auto"/>
        <w:tblInd w:w="594" w:type="dxa"/>
        <w:tblLook w:val="04A0"/>
      </w:tblPr>
      <w:tblGrid>
        <w:gridCol w:w="947"/>
        <w:gridCol w:w="1591"/>
        <w:gridCol w:w="1591"/>
        <w:gridCol w:w="1740"/>
        <w:gridCol w:w="1301"/>
        <w:gridCol w:w="1807"/>
      </w:tblGrid>
      <w:tr w:rsidR="008C55C1" w:rsidTr="008C55C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«4» и «5»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качество знаний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учащихся, писавших работу</w:t>
            </w:r>
          </w:p>
        </w:tc>
      </w:tr>
      <w:tr w:rsidR="008C55C1" w:rsidTr="008C55C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2D33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2D33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2D33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  <w:r w:rsidR="008C55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2D33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8C55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2D336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77510" cy="2091055"/>
            <wp:effectExtent l="0" t="0" r="889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Количество учащихся, правильно выполнившие задания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.</w:t>
      </w:r>
      <w:proofErr w:type="gramEnd"/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-839470</wp:posOffset>
            </wp:positionH>
            <wp:positionV relativeFrom="paragraph">
              <wp:posOffset>379095</wp:posOffset>
            </wp:positionV>
            <wp:extent cx="7132320" cy="3858895"/>
            <wp:effectExtent l="0" t="0" r="11430" b="27305"/>
            <wp:wrapSquare wrapText="bothSides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  <w:r w:rsidR="008B6454">
        <w:rPr>
          <w:rFonts w:ascii="Times New Roman" w:eastAsia="Times New Roman" w:hAnsi="Times New Roman"/>
          <w:sz w:val="28"/>
          <w:szCs w:val="28"/>
          <w:lang w:eastAsia="ru-RU"/>
        </w:rPr>
        <w:t>Средний балл по классу – 3,2 (из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- удовлетворительный.</w:t>
      </w:r>
    </w:p>
    <w:p w:rsidR="008C55C1" w:rsidRDefault="008C55C1" w:rsidP="008C55C1">
      <w:pPr>
        <w:tabs>
          <w:tab w:val="left" w:pos="123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 проведения работы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рове</w:t>
      </w:r>
      <w:r w:rsidR="008B6454">
        <w:rPr>
          <w:rFonts w:ascii="Times New Roman" w:eastAsia="Times New Roman" w:hAnsi="Times New Roman"/>
          <w:sz w:val="28"/>
          <w:szCs w:val="28"/>
          <w:lang w:eastAsia="ru-RU"/>
        </w:rPr>
        <w:t>рить знания учащихся по геометрии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8 классе</w:t>
      </w:r>
    </w:p>
    <w:p w:rsidR="008C55C1" w:rsidRDefault="008C55C1" w:rsidP="008C55C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5C1" w:rsidRDefault="008C55C1" w:rsidP="008C55C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Выполнение учащимися заданий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баллах)</w:t>
      </w:r>
    </w:p>
    <w:p w:rsidR="008C55C1" w:rsidRDefault="00311E6C" w:rsidP="008C55C1">
      <w:pPr>
        <w:keepNext/>
        <w:tabs>
          <w:tab w:val="left" w:pos="2880"/>
        </w:tabs>
        <w:rPr>
          <w:rFonts w:eastAsia="Times New Roman"/>
          <w:lang w:eastAsia="ru-RU"/>
        </w:rPr>
      </w:pPr>
      <w:r w:rsidRPr="00311E6C"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37.95pt;margin-top:212.75pt;width:43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" strokecolor="red" strokeweight="2.25pt">
            <v:stroke dashstyle="dash"/>
          </v:shape>
        </w:pict>
      </w:r>
      <w:r w:rsidR="008C55C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C55C1">
        <w:rPr>
          <w:noProof/>
          <w:lang w:eastAsia="ru-RU"/>
        </w:rPr>
        <w:drawing>
          <wp:inline distT="0" distB="0" distL="0" distR="0">
            <wp:extent cx="5848350" cy="4499610"/>
            <wp:effectExtent l="0" t="0" r="19050" b="1524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C55C1" w:rsidRDefault="00311E6C" w:rsidP="008C55C1">
      <w:pPr>
        <w:tabs>
          <w:tab w:val="left" w:pos="38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311E6C">
        <w:rPr>
          <w:noProof/>
          <w:lang w:eastAsia="ru-RU"/>
        </w:rPr>
        <w:pict>
          <v:shape id="AutoShape 3" o:spid="_x0000_s1027" type="#_x0000_t32" style="position:absolute;margin-left:12.2pt;margin-top:8.45pt;width:171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riNwIAAGI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" strokecolor="red" strokeweight="2.25pt">
            <v:stroke dashstyle="dash"/>
          </v:shape>
        </w:pict>
      </w:r>
      <w:r w:rsidR="002F0E03">
        <w:rPr>
          <w:rFonts w:ascii="Times New Roman" w:eastAsia="Times New Roman" w:hAnsi="Times New Roman"/>
          <w:sz w:val="28"/>
          <w:szCs w:val="28"/>
          <w:lang w:eastAsia="ru-RU"/>
        </w:rPr>
        <w:tab/>
        <w:t>средний балл по классу 3,2</w:t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Процент выполнения учащимися заданий  по темам</w:t>
      </w:r>
    </w:p>
    <w:p w:rsidR="008C55C1" w:rsidRDefault="008C55C1" w:rsidP="008C55C1">
      <w:pPr>
        <w:tabs>
          <w:tab w:val="left" w:pos="38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1"/>
        <w:tblpPr w:leftFromText="180" w:rightFromText="180" w:vertAnchor="text" w:horzAnchor="margin" w:tblpXSpec="center" w:tblpY="949"/>
        <w:tblW w:w="8616" w:type="dxa"/>
        <w:tblLayout w:type="fixed"/>
        <w:tblLook w:val="04A0"/>
      </w:tblPr>
      <w:tblGrid>
        <w:gridCol w:w="709"/>
        <w:gridCol w:w="3370"/>
        <w:gridCol w:w="1560"/>
        <w:gridCol w:w="2977"/>
      </w:tblGrid>
      <w:tr w:rsidR="008C55C1" w:rsidTr="002F0E0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5C1" w:rsidRDefault="002F0E03" w:rsidP="002F0E0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Замечания</w:t>
            </w:r>
            <w:r w:rsidR="008C55C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заданиям</w:t>
            </w:r>
          </w:p>
        </w:tc>
      </w:tr>
      <w:tr w:rsidR="002F0E03" w:rsidTr="002F0E0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0E03" w:rsidRDefault="002F0E0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Признаки равенства треугольников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96%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Данный элемент содержания усвоен на высоком уровне. Важно зафиксировать данный уровень. Обратить внимание на причины и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условия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обеспечившие высокий результат.</w:t>
            </w:r>
          </w:p>
        </w:tc>
      </w:tr>
      <w:tr w:rsidR="002F0E03" w:rsidTr="00E5421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Признаки параллельности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76%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Данный элемент содержания усвоен на 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хорошем уровне. Важно поддерживать этот уровень у сильных учащихся и продолжать подготовку слабых учащихся</w:t>
            </w:r>
          </w:p>
        </w:tc>
      </w:tr>
      <w:tr w:rsidR="002F0E03" w:rsidTr="00E5421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Треугольник, виды, свойства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56%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Данный элемент содержания усвоен на приемлемом уровне. Возможно, необходимо обратить внимание на категорию учащихся, затрудняющихся с данным заданием.</w:t>
            </w:r>
          </w:p>
        </w:tc>
      </w:tr>
      <w:tr w:rsidR="002F0E03" w:rsidTr="003347EB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Прямоугольный треугольник (без теоремы Пифагора)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64%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Данный элемент содержания усвоен на приемлемом уровне. Возможно, необходимо обратить внимание на категорию учащихся, затрудняющихся с данным заданием.</w:t>
            </w:r>
          </w:p>
        </w:tc>
      </w:tr>
      <w:tr w:rsidR="002F0E03" w:rsidTr="003347EB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Смежные, вертикальные углы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48%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Данный элемент содержания усвоен на низком уровне. Требуется коррекция.</w:t>
            </w:r>
          </w:p>
        </w:tc>
      </w:tr>
      <w:tr w:rsidR="002F0E03" w:rsidTr="003347EB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Практическая задача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E03" w:rsidRDefault="002F0E03" w:rsidP="000F5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Данный элемент содержания усвоен на крайне низком уровне. Требуется серьёзная коррекция.</w:t>
            </w:r>
          </w:p>
        </w:tc>
      </w:tr>
    </w:tbl>
    <w:p w:rsidR="008C55C1" w:rsidRDefault="008C55C1" w:rsidP="008C55C1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5C1" w:rsidRDefault="008C55C1" w:rsidP="008C55C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Методы контроля: письменная проверка знаний.</w:t>
      </w:r>
    </w:p>
    <w:p w:rsidR="008C55C1" w:rsidRDefault="008C55C1" w:rsidP="008C55C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Специфика работы: контрольная работа из 4 </w:t>
      </w:r>
      <w:r w:rsidR="002F0E03">
        <w:rPr>
          <w:rFonts w:ascii="Times New Roman" w:eastAsia="Times New Roman" w:hAnsi="Times New Roman"/>
          <w:sz w:val="24"/>
          <w:szCs w:val="24"/>
          <w:lang w:eastAsia="ru-RU"/>
        </w:rPr>
        <w:t>вариантов, в каждой из которых 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заданий.</w:t>
      </w: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5C1" w:rsidRDefault="002F0E03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Выполнили на «5»:  1уч. (4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 xml:space="preserve">%)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Успеваемость: 88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:rsidR="008C55C1" w:rsidRDefault="002F0E03" w:rsidP="008C55C1">
      <w:pPr>
        <w:tabs>
          <w:tab w:val="center" w:pos="510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«4»:  5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 xml:space="preserve"> уч.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Качество: 24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:rsidR="008C55C1" w:rsidRDefault="002F0E03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«3»:  16уч. (64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>%)</w:t>
      </w:r>
    </w:p>
    <w:p w:rsidR="008C55C1" w:rsidRDefault="002F0E03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«2»:  3уч. (12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>%)</w:t>
      </w: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5C1" w:rsidRDefault="008C55C1" w:rsidP="008C55C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3360" w:rsidRDefault="002F0E03"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16.11</w:t>
      </w:r>
      <w:r w:rsidR="008C55C1">
        <w:rPr>
          <w:rFonts w:ascii="Times New Roman" w:eastAsia="Times New Roman" w:hAnsi="Times New Roman"/>
          <w:sz w:val="24"/>
          <w:szCs w:val="24"/>
          <w:lang w:eastAsia="ru-RU"/>
        </w:rPr>
        <w:t>.18г.                                                          Учитель: Халина Н.П.</w:t>
      </w:r>
    </w:p>
    <w:sectPr w:rsidR="002D3360" w:rsidSect="00311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E1425"/>
    <w:rsid w:val="002D3360"/>
    <w:rsid w:val="002F0E03"/>
    <w:rsid w:val="00311E6C"/>
    <w:rsid w:val="00802344"/>
    <w:rsid w:val="008B6454"/>
    <w:rsid w:val="008C55C1"/>
    <w:rsid w:val="00944EA7"/>
    <w:rsid w:val="00BE1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55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55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Office_Excel3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36"/>
      <c:depthPercent val="100"/>
      <c:rAngAx val="1"/>
    </c:view3D>
    <c:floor>
      <c:spPr>
        <a:solidFill>
          <a:schemeClr val="accent6">
            <a:lumMod val="60000"/>
            <a:lumOff val="40000"/>
          </a:schemeClr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61061946902655E-2"/>
          <c:y val="4.5454545454545484E-2"/>
          <c:w val="0.8283185840707965"/>
          <c:h val="0.777777777777779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"2"</c:v>
                </c:pt>
              </c:strCache>
            </c:strRef>
          </c:tx>
          <c:spPr>
            <a:solidFill>
              <a:srgbClr val="00B0F0"/>
            </a:solidFill>
            <a:ln w="25400" cap="flat" cmpd="sng" algn="ctr">
              <a:solidFill>
                <a:schemeClr val="accent3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Sheet1!$B$2:$B$2</c:f>
              <c:numCache>
                <c:formatCode>0%</c:formatCode>
                <c:ptCount val="1"/>
                <c:pt idx="0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"3"</c:v>
                </c:pt>
              </c:strCache>
            </c:strRef>
          </c:tx>
          <c:spPr>
            <a:solidFill>
              <a:srgbClr val="00B050"/>
            </a:solidFill>
            <a:ln w="25400" cap="flat" cmpd="sng" algn="ctr">
              <a:solidFill>
                <a:schemeClr val="accent2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Sheet1!$B$3:$B$3</c:f>
              <c:numCache>
                <c:formatCode>0%</c:formatCode>
                <c:ptCount val="1"/>
                <c:pt idx="0">
                  <c:v>0.64000000000000024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"4" </c:v>
                </c:pt>
              </c:strCache>
            </c:strRef>
          </c:tx>
          <c:spPr>
            <a:solidFill>
              <a:srgbClr val="FFC000"/>
            </a:solidFill>
            <a:ln w="25400" cap="flat" cmpd="sng" algn="ctr">
              <a:solidFill>
                <a:schemeClr val="accent5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Sheet1!$B$4:$B$4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"5"</c:v>
                </c:pt>
              </c:strCache>
            </c:strRef>
          </c:tx>
          <c:spPr>
            <a:solidFill>
              <a:srgbClr val="FF0000"/>
            </a:solidFill>
            <a:ln w="9515">
              <a:solidFill>
                <a:srgbClr val="00000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Sheet1!$B$5:$B$5</c:f>
              <c:numCache>
                <c:formatCode>0%</c:formatCode>
                <c:ptCount val="1"/>
                <c:pt idx="0">
                  <c:v>4.0000000000000015E-2</c:v>
                </c:pt>
              </c:numCache>
            </c:numRef>
          </c:val>
        </c:ser>
        <c:dLbls>
          <c:showVal val="1"/>
        </c:dLbls>
        <c:gapDepth val="0"/>
        <c:shape val="box"/>
        <c:axId val="81359232"/>
        <c:axId val="81361152"/>
        <c:axId val="0"/>
      </c:bar3DChart>
      <c:catAx>
        <c:axId val="81359232"/>
        <c:scaling>
          <c:orientation val="minMax"/>
        </c:scaling>
        <c:axPos val="b"/>
        <c:numFmt formatCode="General" sourceLinked="1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1361152"/>
        <c:crosses val="autoZero"/>
        <c:auto val="1"/>
        <c:lblAlgn val="ctr"/>
        <c:lblOffset val="100"/>
        <c:tickLblSkip val="1"/>
        <c:tickMarkSkip val="1"/>
      </c:catAx>
      <c:valAx>
        <c:axId val="81361152"/>
        <c:scaling>
          <c:orientation val="minMax"/>
        </c:scaling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1359232"/>
        <c:crosses val="autoZero"/>
        <c:crossBetween val="between"/>
      </c:valAx>
      <c:spPr>
        <a:noFill/>
        <a:ln w="19031">
          <a:noFill/>
        </a:ln>
      </c:spPr>
    </c:plotArea>
    <c:legend>
      <c:legendPos val="r"/>
      <c:layout>
        <c:manualLayout>
          <c:xMode val="edge"/>
          <c:yMode val="edge"/>
          <c:x val="0.92389380530973464"/>
          <c:y val="0.11849283262669129"/>
          <c:w val="6.9026548672566371E-2"/>
          <c:h val="0.75524480113062864"/>
        </c:manualLayout>
      </c:layout>
      <c:spPr>
        <a:noFill/>
        <a:ln w="2379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5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9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307560513269193E-2"/>
          <c:y val="5.1994125734283213E-2"/>
          <c:w val="0.94069243948673165"/>
          <c:h val="0.74290307461568184"/>
        </c:manualLayout>
      </c:layout>
      <c:barChart>
        <c:barDir val="col"/>
        <c:grouping val="stacked"/>
        <c:ser>
          <c:idx val="0"/>
          <c:order val="0"/>
          <c:tx>
            <c:strRef>
              <c:f>Лист1!$B$3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accent5">
                  <a:lumMod val="75000"/>
                </a:schemeClr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dLblPos val="inEnd"/>
            <c:showVal val="1"/>
          </c:dLbls>
          <c:cat>
            <c:numRef>
              <c:f>Лист1!$A$5:$A$17</c:f>
              <c:numCache>
                <c:formatCode>General</c:formatCode>
                <c:ptCount val="13"/>
                <c:pt idx="1">
                  <c:v>2</c:v>
                </c:pt>
                <c:pt idx="3">
                  <c:v>3</c:v>
                </c:pt>
                <c:pt idx="5">
                  <c:v>4</c:v>
                </c:pt>
                <c:pt idx="7">
                  <c:v>5</c:v>
                </c:pt>
                <c:pt idx="9">
                  <c:v>6</c:v>
                </c:pt>
              </c:numCache>
            </c:numRef>
          </c:cat>
          <c:val>
            <c:numRef>
              <c:f>Лист1!$B$4:$B$14</c:f>
              <c:numCache>
                <c:formatCode>General</c:formatCode>
                <c:ptCount val="11"/>
                <c:pt idx="0">
                  <c:v>24</c:v>
                </c:pt>
                <c:pt idx="2">
                  <c:v>19</c:v>
                </c:pt>
                <c:pt idx="4">
                  <c:v>14</c:v>
                </c:pt>
                <c:pt idx="6">
                  <c:v>16</c:v>
                </c:pt>
                <c:pt idx="8">
                  <c:v>12</c:v>
                </c:pt>
                <c:pt idx="10">
                  <c:v>1</c:v>
                </c:pt>
              </c:numCache>
            </c:numRef>
          </c:val>
        </c:ser>
        <c:gapWidth val="0"/>
        <c:overlap val="100"/>
        <c:axId val="82301696"/>
        <c:axId val="82615680"/>
      </c:barChart>
      <c:catAx>
        <c:axId val="82301696"/>
        <c:scaling>
          <c:orientation val="minMax"/>
        </c:scaling>
        <c:delete val="1"/>
        <c:axPos val="b"/>
        <c:majorGridlines>
          <c:spPr>
            <a:ln w="25400" cap="flat" cmpd="sng" algn="ctr">
              <a:solidFill>
                <a:srgbClr val="D5E13F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rgbClr val="D5E13F"/>
              </a:solidFill>
              <a:prstDash val="solid"/>
            </a:ln>
            <a:effectLst/>
          </c:spPr>
        </c:minorGridlines>
        <c:numFmt formatCode="General" sourceLinked="1"/>
        <c:majorTickMark val="none"/>
        <c:tickLblPos val="nextTo"/>
        <c:crossAx val="82615680"/>
        <c:crosses val="autoZero"/>
        <c:auto val="1"/>
        <c:lblAlgn val="ctr"/>
        <c:lblOffset val="100"/>
        <c:tickMarkSkip val="2"/>
      </c:catAx>
      <c:valAx>
        <c:axId val="82615680"/>
        <c:scaling>
          <c:orientation val="minMax"/>
        </c:scaling>
        <c:axPos val="l"/>
        <c:minorGridlines>
          <c:spPr>
            <a:ln>
              <a:solidFill>
                <a:srgbClr val="D60093"/>
              </a:solidFill>
            </a:ln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2301696"/>
        <c:crosses val="autoZero"/>
        <c:crossBetween val="between"/>
      </c:valAx>
      <c:spPr>
        <a:solidFill>
          <a:srgbClr val="D5E13F"/>
        </a:solidFill>
        <a:ln w="9525" cap="flat" cmpd="sng" algn="ctr">
          <a:solidFill>
            <a:srgbClr val="D5E13F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</c:chart>
  <c:spPr>
    <a:ln>
      <a:solidFill>
        <a:schemeClr val="accent3">
          <a:lumMod val="60000"/>
          <a:lumOff val="40000"/>
        </a:schemeClr>
      </a:solidFill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Лист1!$A$2:$A$24</c:f>
              <c:strCache>
                <c:ptCount val="23"/>
                <c:pt idx="0">
                  <c:v>АлиевА</c:v>
                </c:pt>
                <c:pt idx="1">
                  <c:v>АлиевАлиш.</c:v>
                </c:pt>
                <c:pt idx="2">
                  <c:v>Измуллаев И.</c:v>
                </c:pt>
                <c:pt idx="3">
                  <c:v>ЧернышковаВ</c:v>
                </c:pt>
                <c:pt idx="4">
                  <c:v>Снахов А.</c:v>
                </c:pt>
                <c:pt idx="5">
                  <c:v>ГусароваА</c:v>
                </c:pt>
                <c:pt idx="6">
                  <c:v>ЕдуновА</c:v>
                </c:pt>
                <c:pt idx="7">
                  <c:v>ЕрмаковаЛ</c:v>
                </c:pt>
                <c:pt idx="8">
                  <c:v>ЕфремоваВ</c:v>
                </c:pt>
                <c:pt idx="9">
                  <c:v>Ащеулов Д</c:v>
                </c:pt>
                <c:pt idx="10">
                  <c:v>Камчатный</c:v>
                </c:pt>
                <c:pt idx="11">
                  <c:v>КравцоваВ</c:v>
                </c:pt>
                <c:pt idx="12">
                  <c:v>Колесников</c:v>
                </c:pt>
                <c:pt idx="13">
                  <c:v>Кочеткова К</c:v>
                </c:pt>
                <c:pt idx="14">
                  <c:v>МирзаевМ</c:v>
                </c:pt>
                <c:pt idx="15">
                  <c:v>Пронькин В</c:v>
                </c:pt>
                <c:pt idx="16">
                  <c:v>ПермиковС</c:v>
                </c:pt>
                <c:pt idx="17">
                  <c:v>ПапикянА</c:v>
                </c:pt>
                <c:pt idx="18">
                  <c:v>ПапоянА</c:v>
                </c:pt>
                <c:pt idx="19">
                  <c:v>Парцикян А</c:v>
                </c:pt>
                <c:pt idx="20">
                  <c:v>СторожнкоВ</c:v>
                </c:pt>
                <c:pt idx="21">
                  <c:v>БлажноваА</c:v>
                </c:pt>
                <c:pt idx="22">
                  <c:v>ШахбазоваМ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0">
                  <c:v>4</c:v>
                </c:pt>
                <c:pt idx="1">
                  <c:v>1</c:v>
                </c:pt>
                <c:pt idx="2">
                  <c:v>3</c:v>
                </c:pt>
                <c:pt idx="3">
                  <c:v>3</c:v>
                </c:pt>
                <c:pt idx="4">
                  <c:v>5</c:v>
                </c:pt>
                <c:pt idx="5">
                  <c:v>7</c:v>
                </c:pt>
                <c:pt idx="6">
                  <c:v>5</c:v>
                </c:pt>
                <c:pt idx="7">
                  <c:v>5</c:v>
                </c:pt>
                <c:pt idx="8">
                  <c:v>3</c:v>
                </c:pt>
                <c:pt idx="9">
                  <c:v>4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  <c:pt idx="13">
                  <c:v>3</c:v>
                </c:pt>
                <c:pt idx="14">
                  <c:v>1</c:v>
                </c:pt>
                <c:pt idx="15">
                  <c:v>3</c:v>
                </c:pt>
                <c:pt idx="16">
                  <c:v>4</c:v>
                </c:pt>
                <c:pt idx="17">
                  <c:v>5</c:v>
                </c:pt>
                <c:pt idx="18">
                  <c:v>3</c:v>
                </c:pt>
                <c:pt idx="19">
                  <c:v>5</c:v>
                </c:pt>
                <c:pt idx="20">
                  <c:v>3</c:v>
                </c:pt>
                <c:pt idx="21">
                  <c:v>4</c:v>
                </c:pt>
                <c:pt idx="22">
                  <c:v>3</c:v>
                </c:pt>
              </c:numCache>
            </c:numRef>
          </c:val>
        </c:ser>
        <c:axId val="126456192"/>
        <c:axId val="126457728"/>
      </c:barChart>
      <c:catAx>
        <c:axId val="12645619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126457728"/>
        <c:crosses val="autoZero"/>
        <c:auto val="1"/>
        <c:lblAlgn val="ctr"/>
        <c:lblOffset val="100"/>
      </c:catAx>
      <c:valAx>
        <c:axId val="126457728"/>
        <c:scaling>
          <c:orientation val="minMax"/>
        </c:scaling>
        <c:axPos val="l"/>
        <c:majorGridlines/>
        <c:minorGridlines/>
        <c:numFmt formatCode="General" sourceLinked="1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126456192"/>
        <c:crosses val="autoZero"/>
        <c:crossBetween val="between"/>
      </c:valAx>
      <c:spPr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User</cp:lastModifiedBy>
  <cp:revision>4</cp:revision>
  <dcterms:created xsi:type="dcterms:W3CDTF">2018-11-28T17:27:00Z</dcterms:created>
  <dcterms:modified xsi:type="dcterms:W3CDTF">2019-04-01T11:23:00Z</dcterms:modified>
</cp:coreProperties>
</file>